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413ED20" w14:textId="007B83D3" w:rsidR="0046782F" w:rsidRDefault="0020506E" w:rsidP="0020506E">
      <w:pPr>
        <w:jc w:val="center"/>
        <w:rPr>
          <w:b/>
          <w:bCs/>
          <w:sz w:val="32"/>
          <w:szCs w:val="32"/>
        </w:rPr>
      </w:pPr>
      <w:r w:rsidRPr="00D650F4">
        <w:rPr>
          <w:b/>
          <w:bCs/>
          <w:sz w:val="32"/>
          <w:szCs w:val="32"/>
        </w:rPr>
        <w:t xml:space="preserve">AGGIORNAMENTI NORMATIVI E GIURISPRUDENZIALI – </w:t>
      </w:r>
      <w:r w:rsidR="00D650F4" w:rsidRPr="00D650F4">
        <w:rPr>
          <w:b/>
          <w:bCs/>
          <w:sz w:val="32"/>
          <w:szCs w:val="32"/>
        </w:rPr>
        <w:t>COSTITUZIONE FONDO</w:t>
      </w:r>
    </w:p>
    <w:p w14:paraId="1D7CDD97" w14:textId="77777777" w:rsidR="00AF65AA" w:rsidRPr="00D650F4" w:rsidRDefault="00AF65AA" w:rsidP="0020506E">
      <w:pPr>
        <w:jc w:val="center"/>
        <w:rPr>
          <w:b/>
          <w:bCs/>
          <w:sz w:val="32"/>
          <w:szCs w:val="32"/>
        </w:rPr>
      </w:pPr>
    </w:p>
    <w:tbl>
      <w:tblPr>
        <w:tblStyle w:val="Grigliatabella"/>
        <w:tblW w:w="0" w:type="auto"/>
        <w:tblLook w:val="04A0" w:firstRow="1" w:lastRow="0" w:firstColumn="1" w:lastColumn="0" w:noHBand="0" w:noVBand="1"/>
      </w:tblPr>
      <w:tblGrid>
        <w:gridCol w:w="4759"/>
        <w:gridCol w:w="9128"/>
      </w:tblGrid>
      <w:tr w:rsidR="005F372F" w:rsidRPr="00850F51" w14:paraId="1288F241" w14:textId="77777777" w:rsidTr="00850F51">
        <w:trPr>
          <w:trHeight w:val="851"/>
        </w:trPr>
        <w:tc>
          <w:tcPr>
            <w:tcW w:w="4759" w:type="dxa"/>
            <w:vAlign w:val="center"/>
          </w:tcPr>
          <w:p w14:paraId="2F743C08" w14:textId="09B27858" w:rsidR="005F372F" w:rsidRPr="00850F51" w:rsidRDefault="005F372F" w:rsidP="00D650F4">
            <w:pPr>
              <w:jc w:val="center"/>
              <w:rPr>
                <w:b/>
                <w:bCs/>
                <w:sz w:val="32"/>
                <w:szCs w:val="32"/>
              </w:rPr>
            </w:pPr>
            <w:r w:rsidRPr="00850F51">
              <w:rPr>
                <w:b/>
                <w:bCs/>
                <w:sz w:val="32"/>
                <w:szCs w:val="32"/>
              </w:rPr>
              <w:t>FONTE</w:t>
            </w:r>
          </w:p>
        </w:tc>
        <w:tc>
          <w:tcPr>
            <w:tcW w:w="9128" w:type="dxa"/>
            <w:vAlign w:val="center"/>
          </w:tcPr>
          <w:p w14:paraId="192FC963" w14:textId="182FE766" w:rsidR="005F372F" w:rsidRPr="00850F51" w:rsidRDefault="005F372F" w:rsidP="00D650F4">
            <w:pPr>
              <w:jc w:val="center"/>
              <w:rPr>
                <w:b/>
                <w:bCs/>
                <w:sz w:val="32"/>
                <w:szCs w:val="32"/>
              </w:rPr>
            </w:pPr>
            <w:r w:rsidRPr="00850F51">
              <w:rPr>
                <w:b/>
                <w:bCs/>
                <w:sz w:val="32"/>
                <w:szCs w:val="32"/>
              </w:rPr>
              <w:t>OGGETTO</w:t>
            </w:r>
          </w:p>
        </w:tc>
      </w:tr>
      <w:tr w:rsidR="00EA21E7" w:rsidRPr="00AF65AA" w14:paraId="0B772C43" w14:textId="77777777" w:rsidTr="00D668B9">
        <w:trPr>
          <w:trHeight w:val="680"/>
        </w:trPr>
        <w:tc>
          <w:tcPr>
            <w:tcW w:w="4759" w:type="dxa"/>
            <w:vAlign w:val="center"/>
          </w:tcPr>
          <w:p w14:paraId="4AE8FF8B" w14:textId="44C52287" w:rsidR="00EA21E7" w:rsidRPr="00AF65AA" w:rsidRDefault="00EA21E7" w:rsidP="00D668B9">
            <w:pPr>
              <w:rPr>
                <w:sz w:val="24"/>
                <w:szCs w:val="24"/>
              </w:rPr>
            </w:pPr>
            <w:r w:rsidRPr="00AF65AA">
              <w:rPr>
                <w:sz w:val="24"/>
                <w:szCs w:val="24"/>
              </w:rPr>
              <w:t xml:space="preserve">SENT. Corte Conti Sezione regionale per la Lombardia n. </w:t>
            </w:r>
            <w:r>
              <w:rPr>
                <w:sz w:val="24"/>
                <w:szCs w:val="24"/>
              </w:rPr>
              <w:t>95</w:t>
            </w:r>
            <w:r w:rsidRPr="00AF65AA">
              <w:rPr>
                <w:sz w:val="24"/>
                <w:szCs w:val="24"/>
              </w:rPr>
              <w:t xml:space="preserve"> del </w:t>
            </w:r>
            <w:r>
              <w:rPr>
                <w:sz w:val="24"/>
                <w:szCs w:val="24"/>
              </w:rPr>
              <w:t>30/06/2020</w:t>
            </w:r>
          </w:p>
        </w:tc>
        <w:tc>
          <w:tcPr>
            <w:tcW w:w="9128" w:type="dxa"/>
            <w:vAlign w:val="center"/>
          </w:tcPr>
          <w:p w14:paraId="5D84B25E" w14:textId="6387C823" w:rsidR="00EA21E7" w:rsidRPr="00EA21E7" w:rsidRDefault="00EA21E7" w:rsidP="00EA21E7">
            <w:pPr>
              <w:jc w:val="both"/>
              <w:rPr>
                <w:i/>
                <w:iCs/>
                <w:sz w:val="20"/>
                <w:szCs w:val="20"/>
              </w:rPr>
            </w:pPr>
            <w:r w:rsidRPr="00EA21E7">
              <w:rPr>
                <w:i/>
                <w:iCs/>
                <w:sz w:val="20"/>
                <w:szCs w:val="20"/>
              </w:rPr>
              <w:t>In conclusione, per determinare il costo medio pro-capite occorre procedere sommando il valore del fondo per la contrattazione decentrata con il valore complessivo delle risorse destinate al finanziamento delle P.O. e dividere l’importo risultante per il numero di tutti i dipendenti in servizio al 31/12/2018, comprese le posizioni organizzative.</w:t>
            </w:r>
          </w:p>
          <w:p w14:paraId="67A04B57" w14:textId="7FBB7935" w:rsidR="00EA21E7" w:rsidRPr="00EA21E7" w:rsidRDefault="00EA21E7" w:rsidP="00EA21E7">
            <w:pPr>
              <w:jc w:val="both"/>
              <w:rPr>
                <w:b/>
                <w:bCs/>
                <w:i/>
                <w:iCs/>
                <w:sz w:val="20"/>
                <w:szCs w:val="20"/>
              </w:rPr>
            </w:pPr>
            <w:r w:rsidRPr="00EA21E7">
              <w:rPr>
                <w:b/>
                <w:bCs/>
                <w:i/>
                <w:iCs/>
                <w:sz w:val="20"/>
                <w:szCs w:val="20"/>
              </w:rPr>
              <w:t>La quantificazione del fondo, ai fini della determinazione del valore medio poi, deve essere fatta con riferimento soltanto a quelle voci che concorrono a determinare il tetto del trattamento accessorio di cui all’art 23 del decreto legislativo 75/2017.</w:t>
            </w:r>
          </w:p>
        </w:tc>
      </w:tr>
      <w:tr w:rsidR="00D668B9" w:rsidRPr="00AF65AA" w14:paraId="5C04A046" w14:textId="77777777" w:rsidTr="00D668B9">
        <w:trPr>
          <w:trHeight w:val="680"/>
        </w:trPr>
        <w:tc>
          <w:tcPr>
            <w:tcW w:w="4759" w:type="dxa"/>
            <w:vAlign w:val="center"/>
          </w:tcPr>
          <w:p w14:paraId="39A69D26" w14:textId="7AC4697A" w:rsidR="00D668B9" w:rsidRPr="00AF65AA" w:rsidRDefault="00D668B9" w:rsidP="00D668B9">
            <w:pPr>
              <w:rPr>
                <w:sz w:val="24"/>
                <w:szCs w:val="24"/>
              </w:rPr>
            </w:pPr>
            <w:r w:rsidRPr="00AF65AA">
              <w:rPr>
                <w:sz w:val="24"/>
                <w:szCs w:val="24"/>
              </w:rPr>
              <w:t xml:space="preserve">SENT. Corte Conti Sezione regionale per la Lombardia n. 161 del 9/12/2020 </w:t>
            </w:r>
          </w:p>
        </w:tc>
        <w:tc>
          <w:tcPr>
            <w:tcW w:w="9128" w:type="dxa"/>
            <w:vAlign w:val="center"/>
          </w:tcPr>
          <w:p w14:paraId="47E784FC" w14:textId="56F7B1E9" w:rsidR="00D668B9" w:rsidRPr="00EA21E7" w:rsidRDefault="00D668B9" w:rsidP="00AF65AA">
            <w:pPr>
              <w:jc w:val="both"/>
              <w:rPr>
                <w:sz w:val="20"/>
                <w:szCs w:val="20"/>
              </w:rPr>
            </w:pPr>
            <w:r w:rsidRPr="00EA21E7">
              <w:rPr>
                <w:sz w:val="20"/>
                <w:szCs w:val="20"/>
              </w:rPr>
              <w:t xml:space="preserve">Esternalizzazione dei servizi: </w:t>
            </w:r>
            <w:r w:rsidRPr="00EA21E7">
              <w:rPr>
                <w:i/>
                <w:iCs/>
                <w:sz w:val="20"/>
                <w:szCs w:val="20"/>
              </w:rPr>
              <w:t>la Sezione si esprime nel senso che la disposizione dell’articolo 6-bis</w:t>
            </w:r>
            <w:r w:rsidRPr="00EA21E7">
              <w:rPr>
                <w:rStyle w:val="Rimandonotaapidipagina"/>
                <w:i/>
                <w:iCs/>
                <w:sz w:val="20"/>
                <w:szCs w:val="20"/>
              </w:rPr>
              <w:footnoteReference w:id="1"/>
            </w:r>
            <w:r w:rsidRPr="00EA21E7">
              <w:rPr>
                <w:i/>
                <w:iCs/>
                <w:sz w:val="20"/>
                <w:szCs w:val="20"/>
              </w:rPr>
              <w:t xml:space="preserve"> del decreto legislativo 30 marzo 2001, n. 165, che prescrive, nel rispetto delle condizioni previste dalla norma, la riduzione dei fondi della contrattazione in proporzione al numero dei dipendenti non più addetti al servizio esternalizzato, </w:t>
            </w:r>
            <w:r w:rsidRPr="00EA21E7">
              <w:rPr>
                <w:b/>
                <w:bCs/>
                <w:i/>
                <w:iCs/>
                <w:sz w:val="20"/>
                <w:szCs w:val="20"/>
              </w:rPr>
              <w:t>non risulta incompatibile con la nuova disciplina dell’articolo 33, comma 2</w:t>
            </w:r>
            <w:r w:rsidRPr="00EA21E7">
              <w:rPr>
                <w:i/>
                <w:iCs/>
                <w:sz w:val="20"/>
                <w:szCs w:val="20"/>
              </w:rPr>
              <w:t>, ultimo periodo, del decreto-legge 30 aprile 2019, n. 34, che ha come fine quello di garantire il valore medio pro-capite del fondo riferito all’anno 2018.</w:t>
            </w:r>
          </w:p>
        </w:tc>
      </w:tr>
      <w:tr w:rsidR="00D668B9" w:rsidRPr="00AF65AA" w14:paraId="67650E98" w14:textId="77777777" w:rsidTr="00D650F4">
        <w:trPr>
          <w:trHeight w:val="680"/>
        </w:trPr>
        <w:tc>
          <w:tcPr>
            <w:tcW w:w="4759" w:type="dxa"/>
            <w:vAlign w:val="center"/>
          </w:tcPr>
          <w:p w14:paraId="2E84FCE2" w14:textId="6B25709D" w:rsidR="00D668B9" w:rsidRPr="00AF65AA" w:rsidRDefault="00D668B9" w:rsidP="00D668B9">
            <w:pPr>
              <w:rPr>
                <w:sz w:val="24"/>
                <w:szCs w:val="24"/>
              </w:rPr>
            </w:pPr>
            <w:r w:rsidRPr="00AF65AA">
              <w:rPr>
                <w:sz w:val="24"/>
                <w:szCs w:val="24"/>
              </w:rPr>
              <w:t xml:space="preserve">Legge n. 178 del 30/12/2020 </w:t>
            </w:r>
          </w:p>
        </w:tc>
        <w:tc>
          <w:tcPr>
            <w:tcW w:w="9128" w:type="dxa"/>
            <w:vAlign w:val="center"/>
          </w:tcPr>
          <w:p w14:paraId="3EE64657" w14:textId="21B26013" w:rsidR="00D668B9" w:rsidRPr="00EA21E7" w:rsidRDefault="00D668B9" w:rsidP="00D668B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color w:val="19191A"/>
                <w:sz w:val="20"/>
                <w:szCs w:val="20"/>
                <w:lang w:eastAsia="it-IT"/>
              </w:rPr>
            </w:pPr>
            <w:r w:rsidRPr="00EA21E7">
              <w:rPr>
                <w:sz w:val="20"/>
                <w:szCs w:val="20"/>
              </w:rPr>
              <w:t xml:space="preserve">Art. 1, comma 870: </w:t>
            </w:r>
            <w:r w:rsidRPr="00EA21E7">
              <w:rPr>
                <w:i/>
                <w:iCs/>
                <w:sz w:val="20"/>
                <w:szCs w:val="20"/>
              </w:rPr>
              <w:t xml:space="preserve">In considerazione del periodo di emergenza epidemiologica da COVID-19, le risorse destinate, nel rispetto dell'articolo </w:t>
            </w:r>
            <w:proofErr w:type="gramStart"/>
            <w:r w:rsidRPr="00EA21E7">
              <w:rPr>
                <w:i/>
                <w:iCs/>
                <w:sz w:val="20"/>
                <w:szCs w:val="20"/>
              </w:rPr>
              <w:t>23,  comma</w:t>
            </w:r>
            <w:proofErr w:type="gramEnd"/>
            <w:r w:rsidRPr="00EA21E7">
              <w:rPr>
                <w:i/>
                <w:iCs/>
                <w:sz w:val="20"/>
                <w:szCs w:val="20"/>
              </w:rPr>
              <w:t xml:space="preserve"> 2, del decreto legislativo 25 maggio 2017, n.  75,  a  remunerare  le prestazioni  di  lavoro  straordinario  del  personale  civile  delle amministrazioni  di  cui  all'articolo  1,  comma  2,   del   decreto legislativo 30 marzo 2001, n. 165, non utilizzate nel corso del 2020, nonché  i risparmi derivanti dai buoni pasto non erogati nel medesimo esercizio, previa certificazione da parte dei  competenti  organi  di controllo, possono finanziare nell'anno successivo, nell'ambito della contrattazione integrativa, in deroga al citato articolo 23, comma 2, i trattamenti economici accessori correlati alla performance  e  alle condizioni di lavoro, ovvero agli istituti del  welfare  integrativo.</w:t>
            </w:r>
          </w:p>
        </w:tc>
      </w:tr>
      <w:tr w:rsidR="00D668B9" w14:paraId="349A3A22" w14:textId="77777777" w:rsidTr="00D650F4">
        <w:trPr>
          <w:trHeight w:val="680"/>
        </w:trPr>
        <w:tc>
          <w:tcPr>
            <w:tcW w:w="4759" w:type="dxa"/>
            <w:vAlign w:val="center"/>
          </w:tcPr>
          <w:p w14:paraId="4D8AD497" w14:textId="7E6D71D8" w:rsidR="00AF65AA" w:rsidRPr="00AF65AA" w:rsidRDefault="00AF65AA" w:rsidP="00AF65AA">
            <w:pPr>
              <w:rPr>
                <w:sz w:val="24"/>
                <w:szCs w:val="24"/>
              </w:rPr>
            </w:pPr>
            <w:r>
              <w:lastRenderedPageBreak/>
              <w:br w:type="page"/>
            </w:r>
            <w:r w:rsidRPr="00AF65AA">
              <w:rPr>
                <w:sz w:val="24"/>
                <w:szCs w:val="24"/>
              </w:rPr>
              <w:t>Ministero dell’Economia e delle Finanze</w:t>
            </w:r>
          </w:p>
          <w:p w14:paraId="0540D3B9" w14:textId="29DB72FB" w:rsidR="00D668B9" w:rsidRDefault="00AF65AA" w:rsidP="00AF65AA">
            <w:r w:rsidRPr="00AF65AA">
              <w:rPr>
                <w:sz w:val="24"/>
                <w:szCs w:val="24"/>
              </w:rPr>
              <w:t xml:space="preserve">Dipartimento della Ragioneria Generale dello Stato- Nota indirizzata al Comune di Roma </w:t>
            </w:r>
          </w:p>
        </w:tc>
        <w:tc>
          <w:tcPr>
            <w:tcW w:w="9128" w:type="dxa"/>
            <w:vAlign w:val="center"/>
          </w:tcPr>
          <w:p w14:paraId="5BE30AC2" w14:textId="77777777" w:rsidR="00AF65AA" w:rsidRPr="00AF65AA" w:rsidRDefault="00AF65AA" w:rsidP="00AF65AA">
            <w:pPr>
              <w:autoSpaceDE w:val="0"/>
              <w:autoSpaceDN w:val="0"/>
              <w:adjustRightInd w:val="0"/>
              <w:jc w:val="both"/>
              <w:rPr>
                <w:rFonts w:ascii="Times New Roman" w:hAnsi="Times New Roman" w:cs="Times New Roman"/>
                <w:i/>
                <w:iCs/>
                <w:sz w:val="18"/>
                <w:szCs w:val="18"/>
              </w:rPr>
            </w:pPr>
            <w:r w:rsidRPr="00AF65AA">
              <w:rPr>
                <w:rFonts w:ascii="Times New Roman" w:hAnsi="Times New Roman" w:cs="Times New Roman"/>
                <w:i/>
                <w:iCs/>
                <w:sz w:val="18"/>
                <w:szCs w:val="18"/>
              </w:rPr>
              <w:t>Al fine di quantificare l’incremento unitario del limite, le norme in oggetto prevedono</w:t>
            </w:r>
          </w:p>
          <w:p w14:paraId="02BBDDDC" w14:textId="472A03AB" w:rsidR="00AF65AA" w:rsidRPr="00AF65AA" w:rsidRDefault="00AF65AA" w:rsidP="00AF65AA">
            <w:pPr>
              <w:autoSpaceDE w:val="0"/>
              <w:autoSpaceDN w:val="0"/>
              <w:adjustRightInd w:val="0"/>
              <w:jc w:val="both"/>
              <w:rPr>
                <w:rFonts w:ascii="Times New Roman" w:hAnsi="Times New Roman" w:cs="Times New Roman"/>
                <w:i/>
                <w:iCs/>
                <w:sz w:val="18"/>
                <w:szCs w:val="18"/>
              </w:rPr>
            </w:pPr>
            <w:r w:rsidRPr="00AF65AA">
              <w:rPr>
                <w:rFonts w:ascii="Times New Roman" w:hAnsi="Times New Roman" w:cs="Times New Roman"/>
                <w:i/>
                <w:iCs/>
                <w:sz w:val="18"/>
                <w:szCs w:val="18"/>
              </w:rPr>
              <w:t>“l’invarianza del valore medio pro-capite, riferito all’anno 2018, […], prendendo a riferimento come base di calcolo il personale in servizio al 31 dicembre 2018”. Pertanto la misura dell’incremento del limite a seguito dell’assunzione a tempo pieno di una singola unità di personale, è quantificato dal rapporto tra le seguenti due grandezze:</w:t>
            </w:r>
          </w:p>
          <w:p w14:paraId="3C5B17AA" w14:textId="2EC33E3D" w:rsidR="00AF65AA" w:rsidRPr="00AF65AA" w:rsidRDefault="00AF65AA" w:rsidP="00AF65AA">
            <w:pPr>
              <w:autoSpaceDE w:val="0"/>
              <w:autoSpaceDN w:val="0"/>
              <w:adjustRightInd w:val="0"/>
              <w:jc w:val="both"/>
              <w:rPr>
                <w:rFonts w:ascii="Times New Roman" w:hAnsi="Times New Roman" w:cs="Times New Roman"/>
                <w:i/>
                <w:iCs/>
                <w:sz w:val="18"/>
                <w:szCs w:val="18"/>
              </w:rPr>
            </w:pPr>
            <w:r w:rsidRPr="00AF65AA">
              <w:rPr>
                <w:rFonts w:ascii="Times New Roman" w:hAnsi="Times New Roman" w:cs="Times New Roman"/>
                <w:i/>
                <w:iCs/>
                <w:sz w:val="18"/>
                <w:szCs w:val="18"/>
              </w:rPr>
              <w:t>1. fondo per la contrattazione integrativa 2018, come certificato dal collegio dei revisori dei conti ai sensi dell’articolo 40-bis, primo comma del decreto legislativo n. 165/2001 e come trasmesso in sede di Tabella 15 “Fondi per la contrattazione integrativa” del Conto Annuale 2018, valutato al netto delle poste variabili che non rilevano ai fini della verifica del limite in oggetto (es. risorse non utilizzate fondi anni precedenti, incentivi per le funzioni tecniche di cui all’articolo 113 del decreto legislativo n. 50/2016 eccetera);</w:t>
            </w:r>
          </w:p>
          <w:p w14:paraId="635D3F6A" w14:textId="368F6799" w:rsidR="00D668B9" w:rsidRPr="00AF65AA" w:rsidRDefault="00AF65AA" w:rsidP="00AF65AA">
            <w:pPr>
              <w:autoSpaceDE w:val="0"/>
              <w:autoSpaceDN w:val="0"/>
              <w:adjustRightInd w:val="0"/>
              <w:jc w:val="both"/>
              <w:rPr>
                <w:rFonts w:ascii="Times New Roman" w:hAnsi="Times New Roman" w:cs="Times New Roman"/>
                <w:i/>
                <w:iCs/>
                <w:sz w:val="18"/>
                <w:szCs w:val="18"/>
              </w:rPr>
            </w:pPr>
            <w:r w:rsidRPr="00AF65AA">
              <w:rPr>
                <w:rFonts w:ascii="Times New Roman" w:hAnsi="Times New Roman" w:cs="Times New Roman"/>
                <w:i/>
                <w:iCs/>
                <w:sz w:val="18"/>
                <w:szCs w:val="18"/>
              </w:rPr>
              <w:t>2. personale in servizio al 31 dicembre 2018 destinatario del fondo di cui al punto precedente (andrà quindi a titolo esemplificativo ricompreso il personale a tempo determinato, il personale con rapporto di lavoro part-time, il personale comandato presso l’amministrazione che accede al fondo, ed escluso il personale comandato esternamente all’amministrazione che non vi accede ecc.).</w:t>
            </w:r>
          </w:p>
          <w:p w14:paraId="721F3897" w14:textId="77777777" w:rsidR="00AF65AA" w:rsidRPr="00AF65AA" w:rsidRDefault="00AF65AA" w:rsidP="00AF65AA">
            <w:pPr>
              <w:jc w:val="both"/>
              <w:rPr>
                <w:rFonts w:ascii="Times New Roman" w:hAnsi="Times New Roman" w:cs="Times New Roman"/>
                <w:i/>
                <w:iCs/>
                <w:sz w:val="18"/>
                <w:szCs w:val="18"/>
              </w:rPr>
            </w:pPr>
          </w:p>
          <w:p w14:paraId="74BBCC47" w14:textId="6398A5D8" w:rsidR="00AF65AA" w:rsidRPr="00AF65AA" w:rsidRDefault="00AF65AA" w:rsidP="00AF65AA">
            <w:pPr>
              <w:jc w:val="both"/>
              <w:rPr>
                <w:rFonts w:ascii="Times New Roman" w:hAnsi="Times New Roman" w:cs="Times New Roman"/>
                <w:i/>
                <w:iCs/>
                <w:sz w:val="18"/>
                <w:szCs w:val="18"/>
              </w:rPr>
            </w:pPr>
            <w:r w:rsidRPr="00AF65AA">
              <w:rPr>
                <w:rFonts w:ascii="Times New Roman" w:hAnsi="Times New Roman" w:cs="Times New Roman"/>
                <w:i/>
                <w:iCs/>
                <w:sz w:val="18"/>
                <w:szCs w:val="18"/>
              </w:rPr>
              <w:t>Omissis</w:t>
            </w:r>
          </w:p>
          <w:p w14:paraId="2ED8B0BF" w14:textId="77777777" w:rsidR="00AF65AA" w:rsidRPr="00AF65AA" w:rsidRDefault="00AF65AA" w:rsidP="00AF65AA">
            <w:pPr>
              <w:jc w:val="both"/>
              <w:rPr>
                <w:rFonts w:ascii="Times New Roman" w:hAnsi="Times New Roman" w:cs="Times New Roman"/>
                <w:i/>
                <w:iCs/>
                <w:sz w:val="18"/>
                <w:szCs w:val="18"/>
              </w:rPr>
            </w:pPr>
          </w:p>
          <w:p w14:paraId="1278CCC2" w14:textId="6DBF4AFF" w:rsidR="00AF65AA" w:rsidRPr="00AF65AA" w:rsidRDefault="00AF65AA" w:rsidP="00AF65AA">
            <w:pPr>
              <w:autoSpaceDE w:val="0"/>
              <w:autoSpaceDN w:val="0"/>
              <w:adjustRightInd w:val="0"/>
              <w:jc w:val="both"/>
              <w:rPr>
                <w:rFonts w:ascii="Times New Roman" w:hAnsi="Times New Roman" w:cs="Times New Roman"/>
                <w:i/>
                <w:iCs/>
                <w:sz w:val="18"/>
                <w:szCs w:val="18"/>
              </w:rPr>
            </w:pPr>
            <w:r w:rsidRPr="00AF65AA">
              <w:rPr>
                <w:rFonts w:ascii="Times New Roman" w:hAnsi="Times New Roman" w:cs="Times New Roman"/>
                <w:i/>
                <w:iCs/>
                <w:sz w:val="18"/>
                <w:szCs w:val="18"/>
              </w:rPr>
              <w:t>La misura dell’incremento del limite per il complesso dell’amministrazione risulta così individuata dalla norma in oggetto: “Il limite … è adeguato, in aumento o in diminuzione, per garantire l’invarianza del valore medio pro-capite”. Ciò comporta che il limite va adeguato in aumento in modo proporzionale agli incrementi di personale individuati dalla norma in eccesso rispetto al personale in servizio alla data del 31.12.2018, distintamente per il personale con qualifica dirigenziale ed il personale del comparto.</w:t>
            </w:r>
          </w:p>
          <w:p w14:paraId="10A59897" w14:textId="77777777" w:rsidR="00AF65AA" w:rsidRPr="00AF65AA" w:rsidRDefault="00AF65AA" w:rsidP="00AF65AA">
            <w:pPr>
              <w:jc w:val="both"/>
              <w:rPr>
                <w:rFonts w:ascii="Times New Roman" w:hAnsi="Times New Roman" w:cs="Times New Roman"/>
                <w:i/>
                <w:iCs/>
                <w:sz w:val="18"/>
                <w:szCs w:val="18"/>
              </w:rPr>
            </w:pPr>
          </w:p>
          <w:p w14:paraId="4939EB24" w14:textId="77777777" w:rsidR="00AF65AA" w:rsidRPr="00AF65AA" w:rsidRDefault="00AF65AA" w:rsidP="00AF65AA">
            <w:pPr>
              <w:jc w:val="both"/>
              <w:rPr>
                <w:rFonts w:ascii="Times New Roman" w:hAnsi="Times New Roman" w:cs="Times New Roman"/>
                <w:i/>
                <w:iCs/>
                <w:sz w:val="18"/>
                <w:szCs w:val="18"/>
              </w:rPr>
            </w:pPr>
            <w:r w:rsidRPr="00AF65AA">
              <w:rPr>
                <w:rFonts w:ascii="Times New Roman" w:hAnsi="Times New Roman" w:cs="Times New Roman"/>
                <w:i/>
                <w:iCs/>
                <w:sz w:val="18"/>
                <w:szCs w:val="18"/>
              </w:rPr>
              <w:t>Omissis</w:t>
            </w:r>
          </w:p>
          <w:p w14:paraId="3BBDD4E4" w14:textId="77777777" w:rsidR="00AF65AA" w:rsidRPr="00AF65AA" w:rsidRDefault="00AF65AA" w:rsidP="00AF65AA">
            <w:pPr>
              <w:jc w:val="both"/>
              <w:rPr>
                <w:rFonts w:ascii="Times New Roman" w:hAnsi="Times New Roman" w:cs="Times New Roman"/>
                <w:i/>
                <w:iCs/>
                <w:sz w:val="18"/>
                <w:szCs w:val="18"/>
              </w:rPr>
            </w:pPr>
          </w:p>
          <w:p w14:paraId="1BCAA425" w14:textId="593E36FC" w:rsidR="00AF65AA" w:rsidRPr="00AF65AA" w:rsidRDefault="00AF65AA" w:rsidP="00AF65AA">
            <w:pPr>
              <w:autoSpaceDE w:val="0"/>
              <w:autoSpaceDN w:val="0"/>
              <w:adjustRightInd w:val="0"/>
              <w:jc w:val="both"/>
              <w:rPr>
                <w:rFonts w:ascii="Times New Roman" w:hAnsi="Times New Roman" w:cs="Times New Roman"/>
                <w:i/>
                <w:iCs/>
                <w:sz w:val="18"/>
                <w:szCs w:val="18"/>
              </w:rPr>
            </w:pPr>
            <w:r w:rsidRPr="00AF65AA">
              <w:rPr>
                <w:rFonts w:ascii="Times New Roman" w:hAnsi="Times New Roman" w:cs="Times New Roman"/>
                <w:i/>
                <w:iCs/>
                <w:sz w:val="18"/>
                <w:szCs w:val="18"/>
              </w:rPr>
              <w:t>Al riguardo si evidenzia che il citato articolo 33 del decreto legge n. 34/2019 risulta finalizzato ad assunzioni di personale con contratto di lavoro a tempo indeterminato. Pertanto si ritiene che vada preso in considerazione ai fini dell’adeguamento, in aumento o in diminuzione, del limite, unicamente il personale con contratto a tempo indeterminato che accede alle risorse accessorie, escludendo pertanto, diversamente dai conteggi indicati per la valorizzazione del valore medio pro-capite, il personale con contratto a tempo determinato ed avendo cura di escludere dal calcolo le assunzioni a tempo indeterminato di personale in precedenza in servizio a tempo determinato, il cui trattamento accessorio risulta già ricompreso nel fondo per la contrattazione integrativa.</w:t>
            </w:r>
          </w:p>
          <w:p w14:paraId="726C4DEC" w14:textId="77777777" w:rsidR="00AF65AA" w:rsidRPr="00AF65AA" w:rsidRDefault="00AF65AA" w:rsidP="00AF65AA">
            <w:pPr>
              <w:jc w:val="both"/>
              <w:rPr>
                <w:rFonts w:ascii="Times New Roman" w:hAnsi="Times New Roman" w:cs="Times New Roman"/>
                <w:i/>
                <w:iCs/>
                <w:sz w:val="18"/>
                <w:szCs w:val="18"/>
              </w:rPr>
            </w:pPr>
          </w:p>
          <w:p w14:paraId="002C66CE" w14:textId="77777777" w:rsidR="00AF65AA" w:rsidRPr="00AF65AA" w:rsidRDefault="00AF65AA" w:rsidP="00AF65AA">
            <w:pPr>
              <w:jc w:val="both"/>
              <w:rPr>
                <w:rFonts w:ascii="Times New Roman" w:hAnsi="Times New Roman" w:cs="Times New Roman"/>
                <w:i/>
                <w:iCs/>
                <w:sz w:val="18"/>
                <w:szCs w:val="18"/>
              </w:rPr>
            </w:pPr>
            <w:r w:rsidRPr="00AF65AA">
              <w:rPr>
                <w:rFonts w:ascii="Times New Roman" w:hAnsi="Times New Roman" w:cs="Times New Roman"/>
                <w:i/>
                <w:iCs/>
                <w:sz w:val="18"/>
                <w:szCs w:val="18"/>
              </w:rPr>
              <w:t>Omissis</w:t>
            </w:r>
          </w:p>
          <w:p w14:paraId="77D0F711" w14:textId="77777777" w:rsidR="00AF65AA" w:rsidRPr="00AF65AA" w:rsidRDefault="00AF65AA" w:rsidP="00AF65AA">
            <w:pPr>
              <w:jc w:val="both"/>
              <w:rPr>
                <w:rFonts w:ascii="Times New Roman" w:hAnsi="Times New Roman" w:cs="Times New Roman"/>
                <w:i/>
                <w:iCs/>
                <w:sz w:val="18"/>
                <w:szCs w:val="18"/>
              </w:rPr>
            </w:pPr>
          </w:p>
          <w:p w14:paraId="3B8F4DEB" w14:textId="1EB6642D" w:rsidR="00AF65AA" w:rsidRPr="00AF65AA" w:rsidRDefault="00AF65AA" w:rsidP="00AF65AA">
            <w:pPr>
              <w:autoSpaceDE w:val="0"/>
              <w:autoSpaceDN w:val="0"/>
              <w:adjustRightInd w:val="0"/>
              <w:jc w:val="both"/>
              <w:rPr>
                <w:rFonts w:ascii="Times New Roman" w:hAnsi="Times New Roman" w:cs="Times New Roman"/>
                <w:i/>
                <w:iCs/>
                <w:sz w:val="18"/>
                <w:szCs w:val="18"/>
              </w:rPr>
            </w:pPr>
            <w:r w:rsidRPr="00AF65AA">
              <w:rPr>
                <w:rFonts w:ascii="Times New Roman" w:hAnsi="Times New Roman" w:cs="Times New Roman"/>
                <w:i/>
                <w:iCs/>
                <w:sz w:val="18"/>
                <w:szCs w:val="18"/>
              </w:rPr>
              <w:t>Ove le unità in servizio nell’anno di riferimento così calcolate risultino superiori a quelle in servizio al 31.12.2018, il limite di cui all’articolo 23, comma 2, del decreto legislativo n. 75/2017 è adeguato in aumento, distintamente per ciascuna tipologia di personale, della seguente misura: numero delle unità di personale aggiuntivo rispetto a quello in servizio al 31.12.2018 moltiplicato per la relativa quota accessoria per dipendente calcolata secondo le indicazioni con riferimento a tale categoria di personale.</w:t>
            </w:r>
          </w:p>
          <w:p w14:paraId="230708D2" w14:textId="7FD312E8" w:rsidR="00AF65AA" w:rsidRPr="00AF65AA" w:rsidRDefault="00AF65AA" w:rsidP="00AF65AA">
            <w:pPr>
              <w:autoSpaceDE w:val="0"/>
              <w:autoSpaceDN w:val="0"/>
              <w:adjustRightInd w:val="0"/>
              <w:jc w:val="both"/>
              <w:rPr>
                <w:rFonts w:ascii="Times New Roman" w:hAnsi="Times New Roman" w:cs="Times New Roman"/>
                <w:i/>
                <w:iCs/>
                <w:sz w:val="24"/>
                <w:szCs w:val="24"/>
              </w:rPr>
            </w:pPr>
            <w:r w:rsidRPr="00AF65AA">
              <w:rPr>
                <w:rFonts w:ascii="Times New Roman" w:hAnsi="Times New Roman" w:cs="Times New Roman"/>
                <w:i/>
                <w:iCs/>
                <w:sz w:val="18"/>
                <w:szCs w:val="18"/>
              </w:rPr>
              <w:t xml:space="preserve">La procedura sopra illustrata definisce la misura dell’adeguamento del limite sia in aumento (in caso di personale in servizio maggiore rispetto a quello dell’anno precedente) che in diminuzione (in caso di personale in servizio minore rispetto a quello dell’anno precedente) </w:t>
            </w:r>
            <w:r w:rsidRPr="00AF65AA">
              <w:rPr>
                <w:rFonts w:ascii="Times New Roman" w:hAnsi="Times New Roman" w:cs="Times New Roman"/>
                <w:b/>
                <w:bCs/>
                <w:i/>
                <w:iCs/>
                <w:sz w:val="18"/>
                <w:szCs w:val="18"/>
              </w:rPr>
              <w:t>e garantisce al contempo la salvaguardia del limite 2016 originario, in caso di personale in servizio inferiore rispetto a quello al 31.12.2018.</w:t>
            </w:r>
          </w:p>
        </w:tc>
      </w:tr>
    </w:tbl>
    <w:p w14:paraId="39CD1FC6" w14:textId="77777777" w:rsidR="00AF65AA" w:rsidRDefault="00AF65AA">
      <w:r>
        <w:br w:type="page"/>
      </w:r>
    </w:p>
    <w:tbl>
      <w:tblPr>
        <w:tblStyle w:val="Grigliatabella"/>
        <w:tblW w:w="0" w:type="auto"/>
        <w:tblLook w:val="04A0" w:firstRow="1" w:lastRow="0" w:firstColumn="1" w:lastColumn="0" w:noHBand="0" w:noVBand="1"/>
      </w:tblPr>
      <w:tblGrid>
        <w:gridCol w:w="4759"/>
        <w:gridCol w:w="9128"/>
      </w:tblGrid>
      <w:tr w:rsidR="00D668B9" w14:paraId="070C10BA" w14:textId="77777777" w:rsidTr="00D650F4">
        <w:trPr>
          <w:trHeight w:val="680"/>
        </w:trPr>
        <w:tc>
          <w:tcPr>
            <w:tcW w:w="4759" w:type="dxa"/>
            <w:vAlign w:val="center"/>
          </w:tcPr>
          <w:p w14:paraId="4336D9E9" w14:textId="39151B70" w:rsidR="00D668B9" w:rsidRDefault="00850F51" w:rsidP="00D668B9">
            <w:r w:rsidRPr="00AF65AA">
              <w:rPr>
                <w:sz w:val="24"/>
                <w:szCs w:val="24"/>
              </w:rPr>
              <w:lastRenderedPageBreak/>
              <w:t xml:space="preserve">SENT. Corte Conti Sezione regionale per la </w:t>
            </w:r>
            <w:r>
              <w:rPr>
                <w:sz w:val="24"/>
                <w:szCs w:val="24"/>
              </w:rPr>
              <w:t xml:space="preserve">Campania </w:t>
            </w:r>
            <w:r w:rsidRPr="00AF65AA">
              <w:rPr>
                <w:sz w:val="24"/>
                <w:szCs w:val="24"/>
              </w:rPr>
              <w:t>n.</w:t>
            </w:r>
            <w:r>
              <w:rPr>
                <w:sz w:val="24"/>
                <w:szCs w:val="24"/>
              </w:rPr>
              <w:t xml:space="preserve"> 21 </w:t>
            </w:r>
            <w:r w:rsidRPr="00AF65AA">
              <w:rPr>
                <w:sz w:val="24"/>
                <w:szCs w:val="24"/>
              </w:rPr>
              <w:t xml:space="preserve">del </w:t>
            </w:r>
            <w:r>
              <w:rPr>
                <w:sz w:val="24"/>
                <w:szCs w:val="24"/>
              </w:rPr>
              <w:t>22/02/2021</w:t>
            </w:r>
          </w:p>
        </w:tc>
        <w:tc>
          <w:tcPr>
            <w:tcW w:w="9128" w:type="dxa"/>
            <w:vAlign w:val="center"/>
          </w:tcPr>
          <w:p w14:paraId="08E823DA" w14:textId="739B9FF5" w:rsidR="00850F51" w:rsidRPr="00EA21E7" w:rsidRDefault="00850F51" w:rsidP="00850F51">
            <w:pPr>
              <w:jc w:val="both"/>
              <w:rPr>
                <w:i/>
                <w:iCs/>
                <w:sz w:val="20"/>
                <w:szCs w:val="20"/>
              </w:rPr>
            </w:pPr>
            <w:r w:rsidRPr="00EA21E7">
              <w:rPr>
                <w:i/>
                <w:iCs/>
                <w:sz w:val="20"/>
                <w:szCs w:val="20"/>
              </w:rPr>
              <w:t xml:space="preserve">In questo nuovo quadro normativo, coordinando le due disposizioni citate circa il limite al trattamento accessorio (art. 23, comma 2, D. Lgs. n. 75 del 2017 e 33, comma 2, D.L. n. 34 del 2019) la disciplina che ne risulta è la seguente: il riferimento base è previsto dall'art. 23, comma 2, cit. (indicato nell'anno 2016); questo dato deve, poi, essere adeguato, aumentandolo o diminuendolo, in modo da assicurare l'invarianza nel tempo del valore medio pro-capite del 2018. </w:t>
            </w:r>
          </w:p>
          <w:p w14:paraId="3454642E" w14:textId="77777777" w:rsidR="00850F51" w:rsidRPr="00EA21E7" w:rsidRDefault="00850F51" w:rsidP="00850F51">
            <w:pPr>
              <w:jc w:val="both"/>
              <w:rPr>
                <w:i/>
                <w:iCs/>
                <w:sz w:val="20"/>
                <w:szCs w:val="20"/>
              </w:rPr>
            </w:pPr>
          </w:p>
          <w:p w14:paraId="4CB41B11" w14:textId="77777777" w:rsidR="00850F51" w:rsidRPr="00EA21E7" w:rsidRDefault="00850F51" w:rsidP="00850F51">
            <w:pPr>
              <w:jc w:val="both"/>
              <w:rPr>
                <w:i/>
                <w:iCs/>
                <w:sz w:val="20"/>
                <w:szCs w:val="20"/>
              </w:rPr>
            </w:pPr>
            <w:r w:rsidRPr="00EA21E7">
              <w:rPr>
                <w:i/>
                <w:iCs/>
                <w:sz w:val="20"/>
                <w:szCs w:val="20"/>
              </w:rPr>
              <w:t xml:space="preserve">In tal modo, superando definitivamente il limite del trattamento accessorio del 2016, e costruendone uno nuovo, a partire dal 2018, si garantisce a ciascun dipendente un valore medio, in caso di assunzione di nuovi dipendenti, tale che all'incremento del numero dei dipendenti, l'ammontare del trattamento accessorio cresca in maniera proporzionale. </w:t>
            </w:r>
          </w:p>
          <w:p w14:paraId="347F3E39" w14:textId="2493FB06" w:rsidR="00850F51" w:rsidRPr="00EA21E7" w:rsidRDefault="00850F51" w:rsidP="00850F51">
            <w:pPr>
              <w:jc w:val="both"/>
              <w:rPr>
                <w:i/>
                <w:iCs/>
                <w:sz w:val="20"/>
                <w:szCs w:val="20"/>
              </w:rPr>
            </w:pPr>
            <w:r w:rsidRPr="00EA21E7">
              <w:rPr>
                <w:i/>
                <w:iCs/>
                <w:sz w:val="20"/>
                <w:szCs w:val="20"/>
              </w:rPr>
              <w:t xml:space="preserve">Qualora, invece, il numero di dipendenti dovesse diminuire non è possibile scendere al di sotto del valore - soglia del trattamento accessorio del 2016. </w:t>
            </w:r>
          </w:p>
          <w:p w14:paraId="5C11E580" w14:textId="77777777" w:rsidR="00850F51" w:rsidRPr="00EA21E7" w:rsidRDefault="00850F51" w:rsidP="00850F51">
            <w:pPr>
              <w:jc w:val="both"/>
              <w:rPr>
                <w:i/>
                <w:iCs/>
                <w:sz w:val="20"/>
                <w:szCs w:val="20"/>
              </w:rPr>
            </w:pPr>
          </w:p>
          <w:p w14:paraId="3C46FBE2" w14:textId="315F021D" w:rsidR="00850F51" w:rsidRPr="00EA21E7" w:rsidRDefault="00850F51" w:rsidP="00850F51">
            <w:pPr>
              <w:jc w:val="both"/>
              <w:rPr>
                <w:i/>
                <w:iCs/>
                <w:sz w:val="20"/>
                <w:szCs w:val="20"/>
              </w:rPr>
            </w:pPr>
            <w:r w:rsidRPr="00EA21E7">
              <w:rPr>
                <w:i/>
                <w:iCs/>
                <w:sz w:val="20"/>
                <w:szCs w:val="20"/>
              </w:rPr>
              <w:t xml:space="preserve">La norma prevista dall'art. 23, c .2, D. Lgs. n. 75 del 2007 cit., rimanendo in vigore, non deve più essere considerata come valore assoluto da prender e a riferimento, bensì come il limite minimo inderogabile, al di sotto del quale non è possibile riconoscere il trattamento accessorio; e ciò anche in considerazione del fatto che, trattandosi di un trattamento accessorio ormai maturato, esso rappresenta un diritto quesito che non può essere negato, in caso di diminuzione di dipendenti. </w:t>
            </w:r>
          </w:p>
          <w:p w14:paraId="24E0CF14" w14:textId="77777777" w:rsidR="00850F51" w:rsidRPr="00EA21E7" w:rsidRDefault="00850F51" w:rsidP="00850F51">
            <w:pPr>
              <w:jc w:val="both"/>
              <w:rPr>
                <w:i/>
                <w:iCs/>
                <w:sz w:val="20"/>
                <w:szCs w:val="20"/>
              </w:rPr>
            </w:pPr>
          </w:p>
          <w:p w14:paraId="2A52A4CD" w14:textId="0A39F45B" w:rsidR="00D668B9" w:rsidRPr="00850F51" w:rsidRDefault="00850F51" w:rsidP="00850F51">
            <w:pPr>
              <w:jc w:val="both"/>
              <w:rPr>
                <w:i/>
                <w:iCs/>
                <w:sz w:val="24"/>
                <w:szCs w:val="24"/>
              </w:rPr>
            </w:pPr>
            <w:r w:rsidRPr="00EA21E7">
              <w:rPr>
                <w:i/>
                <w:iCs/>
                <w:sz w:val="20"/>
                <w:szCs w:val="20"/>
              </w:rPr>
              <w:t>Del resto, il D.M. 17 marzo 2020 cit. prevede, in motivazione, che "è fatto salvo il limite iniziale, qualora il personale in servizio sia inferiore al numero rilevato al 31 dicembre 2018".</w:t>
            </w:r>
          </w:p>
        </w:tc>
      </w:tr>
    </w:tbl>
    <w:p w14:paraId="5FC22DDB" w14:textId="77777777" w:rsidR="00574ED3" w:rsidRDefault="00574ED3"/>
    <w:sectPr w:rsidR="00574ED3" w:rsidSect="00574ED3">
      <w:pgSz w:w="16838" w:h="11906" w:orient="landscape"/>
      <w:pgMar w:top="1134" w:right="1417"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D59C599" w14:textId="77777777" w:rsidR="001209D1" w:rsidRDefault="001209D1" w:rsidP="00D668B9">
      <w:pPr>
        <w:spacing w:after="0" w:line="240" w:lineRule="auto"/>
      </w:pPr>
      <w:r>
        <w:separator/>
      </w:r>
    </w:p>
  </w:endnote>
  <w:endnote w:type="continuationSeparator" w:id="0">
    <w:p w14:paraId="65FCFD40" w14:textId="77777777" w:rsidR="001209D1" w:rsidRDefault="001209D1" w:rsidP="00D668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Book Antiqua">
    <w:altName w:val="Book Antiqua"/>
    <w:panose1 w:val="020406020503050303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C271F74" w14:textId="77777777" w:rsidR="001209D1" w:rsidRDefault="001209D1" w:rsidP="00D668B9">
      <w:pPr>
        <w:spacing w:after="0" w:line="240" w:lineRule="auto"/>
      </w:pPr>
      <w:r>
        <w:separator/>
      </w:r>
    </w:p>
  </w:footnote>
  <w:footnote w:type="continuationSeparator" w:id="0">
    <w:p w14:paraId="3FEED054" w14:textId="77777777" w:rsidR="001209D1" w:rsidRDefault="001209D1" w:rsidP="00D668B9">
      <w:pPr>
        <w:spacing w:after="0" w:line="240" w:lineRule="auto"/>
      </w:pPr>
      <w:r>
        <w:continuationSeparator/>
      </w:r>
    </w:p>
  </w:footnote>
  <w:footnote w:id="1">
    <w:p w14:paraId="3AAFEFAD" w14:textId="7B16F2AA" w:rsidR="00D668B9" w:rsidRPr="00D668B9" w:rsidRDefault="00D668B9" w:rsidP="00D668B9">
      <w:pPr>
        <w:spacing w:after="0" w:line="240" w:lineRule="auto"/>
        <w:rPr>
          <w:b/>
          <w:bCs/>
          <w:i/>
          <w:iCs/>
          <w:sz w:val="20"/>
          <w:szCs w:val="20"/>
        </w:rPr>
      </w:pPr>
      <w:r w:rsidRPr="00D668B9">
        <w:rPr>
          <w:i/>
          <w:iCs/>
          <w:sz w:val="20"/>
          <w:szCs w:val="20"/>
        </w:rPr>
        <w:footnoteRef/>
      </w:r>
      <w:r w:rsidRPr="00D668B9">
        <w:rPr>
          <w:i/>
          <w:iCs/>
          <w:sz w:val="20"/>
          <w:szCs w:val="20"/>
        </w:rPr>
        <w:t xml:space="preserve">  </w:t>
      </w:r>
      <w:r>
        <w:rPr>
          <w:i/>
          <w:iCs/>
          <w:sz w:val="20"/>
          <w:szCs w:val="20"/>
        </w:rPr>
        <w:t>D. Lgs. 165/2001 -</w:t>
      </w:r>
      <w:r w:rsidRPr="00D668B9">
        <w:rPr>
          <w:i/>
          <w:iCs/>
          <w:sz w:val="20"/>
          <w:szCs w:val="20"/>
        </w:rPr>
        <w:t xml:space="preserve"> Art. 6-bis </w:t>
      </w:r>
      <w:r w:rsidRPr="00AF65AA">
        <w:rPr>
          <w:b/>
          <w:bCs/>
          <w:i/>
          <w:iCs/>
          <w:sz w:val="20"/>
          <w:szCs w:val="20"/>
        </w:rPr>
        <w:t xml:space="preserve">- </w:t>
      </w:r>
      <w:r w:rsidRPr="00D668B9">
        <w:rPr>
          <w:b/>
          <w:bCs/>
          <w:i/>
          <w:iCs/>
          <w:sz w:val="20"/>
          <w:szCs w:val="20"/>
        </w:rPr>
        <w:t>(Misure in materia di organizzazione e razionalizzazione della spesa</w:t>
      </w:r>
      <w:r w:rsidRPr="00AF65AA">
        <w:rPr>
          <w:b/>
          <w:bCs/>
          <w:i/>
          <w:iCs/>
          <w:sz w:val="20"/>
          <w:szCs w:val="20"/>
        </w:rPr>
        <w:t xml:space="preserve"> </w:t>
      </w:r>
      <w:r w:rsidRPr="00D668B9">
        <w:rPr>
          <w:b/>
          <w:bCs/>
          <w:i/>
          <w:iCs/>
          <w:sz w:val="20"/>
          <w:szCs w:val="20"/>
        </w:rPr>
        <w:t xml:space="preserve">per il funzionamento delle pubbliche amministrazioni). </w:t>
      </w:r>
    </w:p>
    <w:p w14:paraId="2F1493AE" w14:textId="530F1899" w:rsidR="00D668B9" w:rsidRPr="00D668B9" w:rsidRDefault="00D668B9" w:rsidP="00D668B9">
      <w:pPr>
        <w:spacing w:after="0" w:line="240" w:lineRule="auto"/>
        <w:jc w:val="both"/>
        <w:rPr>
          <w:i/>
          <w:iCs/>
          <w:sz w:val="20"/>
          <w:szCs w:val="20"/>
        </w:rPr>
      </w:pPr>
      <w:r w:rsidRPr="00D668B9">
        <w:rPr>
          <w:i/>
          <w:iCs/>
          <w:sz w:val="20"/>
          <w:szCs w:val="20"/>
        </w:rPr>
        <w:t xml:space="preserve"> </w:t>
      </w:r>
      <w:r>
        <w:rPr>
          <w:i/>
          <w:iCs/>
          <w:sz w:val="20"/>
          <w:szCs w:val="20"/>
        </w:rPr>
        <w:t xml:space="preserve">Comma </w:t>
      </w:r>
      <w:r w:rsidRPr="00D668B9">
        <w:rPr>
          <w:i/>
          <w:iCs/>
          <w:sz w:val="20"/>
          <w:szCs w:val="20"/>
        </w:rPr>
        <w:t>1. Le pubbliche amministrazioni di cui all'articolo 1, comma 2,</w:t>
      </w:r>
      <w:r>
        <w:rPr>
          <w:i/>
          <w:iCs/>
          <w:sz w:val="20"/>
          <w:szCs w:val="20"/>
        </w:rPr>
        <w:t xml:space="preserve"> nonché </w:t>
      </w:r>
      <w:r w:rsidRPr="00D668B9">
        <w:rPr>
          <w:i/>
          <w:iCs/>
          <w:sz w:val="20"/>
          <w:szCs w:val="20"/>
        </w:rPr>
        <w:t>gli enti finanziati direttamente o indirettamente a carico</w:t>
      </w:r>
      <w:r>
        <w:rPr>
          <w:i/>
          <w:iCs/>
          <w:sz w:val="20"/>
          <w:szCs w:val="20"/>
        </w:rPr>
        <w:t xml:space="preserve"> </w:t>
      </w:r>
      <w:r w:rsidRPr="00D668B9">
        <w:rPr>
          <w:i/>
          <w:iCs/>
          <w:sz w:val="20"/>
          <w:szCs w:val="20"/>
        </w:rPr>
        <w:t>del bilancio dello Stato sono autorizzati, nel rispetto dei principi</w:t>
      </w:r>
      <w:r>
        <w:rPr>
          <w:i/>
          <w:iCs/>
          <w:sz w:val="20"/>
          <w:szCs w:val="20"/>
        </w:rPr>
        <w:t xml:space="preserve"> </w:t>
      </w:r>
      <w:r w:rsidRPr="00D668B9">
        <w:rPr>
          <w:i/>
          <w:iCs/>
          <w:sz w:val="20"/>
          <w:szCs w:val="20"/>
        </w:rPr>
        <w:t>di concorrenza e di trasparenza, ad acquistare sul mercato i servizi,</w:t>
      </w:r>
      <w:r>
        <w:rPr>
          <w:i/>
          <w:iCs/>
          <w:sz w:val="20"/>
          <w:szCs w:val="20"/>
        </w:rPr>
        <w:t xml:space="preserve"> </w:t>
      </w:r>
      <w:r w:rsidRPr="00D668B9">
        <w:rPr>
          <w:i/>
          <w:iCs/>
          <w:sz w:val="20"/>
          <w:szCs w:val="20"/>
        </w:rPr>
        <w:t>originariamente prodotti al proprio interno, a condizione di ottenere</w:t>
      </w:r>
      <w:r>
        <w:rPr>
          <w:i/>
          <w:iCs/>
          <w:sz w:val="20"/>
          <w:szCs w:val="20"/>
        </w:rPr>
        <w:t xml:space="preserve"> </w:t>
      </w:r>
      <w:r w:rsidRPr="00D668B9">
        <w:rPr>
          <w:i/>
          <w:iCs/>
          <w:sz w:val="20"/>
          <w:szCs w:val="20"/>
        </w:rPr>
        <w:t>conseguenti economie di gestione e di adottare le necessarie misure</w:t>
      </w:r>
      <w:r>
        <w:rPr>
          <w:i/>
          <w:iCs/>
          <w:sz w:val="20"/>
          <w:szCs w:val="20"/>
        </w:rPr>
        <w:t xml:space="preserve"> </w:t>
      </w:r>
      <w:r w:rsidRPr="00D668B9">
        <w:rPr>
          <w:i/>
          <w:iCs/>
          <w:sz w:val="20"/>
          <w:szCs w:val="20"/>
        </w:rPr>
        <w:t xml:space="preserve">in materia di personale ((...)). </w:t>
      </w:r>
    </w:p>
    <w:p w14:paraId="58999A3A" w14:textId="052F9827" w:rsidR="00D668B9" w:rsidRDefault="00D668B9" w:rsidP="00D668B9">
      <w:pPr>
        <w:spacing w:after="0"/>
        <w:jc w:val="both"/>
        <w:rPr>
          <w:i/>
          <w:iCs/>
          <w:sz w:val="20"/>
          <w:szCs w:val="20"/>
        </w:rPr>
      </w:pPr>
      <w:r>
        <w:rPr>
          <w:i/>
          <w:iCs/>
          <w:sz w:val="20"/>
          <w:szCs w:val="20"/>
        </w:rPr>
        <w:t>Comma</w:t>
      </w:r>
      <w:r w:rsidRPr="00D668B9">
        <w:rPr>
          <w:i/>
          <w:iCs/>
          <w:sz w:val="20"/>
          <w:szCs w:val="20"/>
        </w:rPr>
        <w:t xml:space="preserve"> 2. ((Le amministrazioni interessate dai processi di cui al presente</w:t>
      </w:r>
      <w:r>
        <w:rPr>
          <w:i/>
          <w:iCs/>
          <w:sz w:val="20"/>
          <w:szCs w:val="20"/>
        </w:rPr>
        <w:t xml:space="preserve"> </w:t>
      </w:r>
      <w:r w:rsidRPr="00D668B9">
        <w:rPr>
          <w:i/>
          <w:iCs/>
          <w:sz w:val="20"/>
          <w:szCs w:val="20"/>
        </w:rPr>
        <w:t xml:space="preserve">articolo provvedono al congelamento dei posti e </w:t>
      </w:r>
      <w:r w:rsidRPr="00D668B9">
        <w:rPr>
          <w:b/>
          <w:bCs/>
          <w:i/>
          <w:iCs/>
          <w:sz w:val="20"/>
          <w:szCs w:val="20"/>
        </w:rPr>
        <w:t>all</w:t>
      </w:r>
      <w:r w:rsidR="00AF65AA">
        <w:rPr>
          <w:b/>
          <w:bCs/>
          <w:i/>
          <w:iCs/>
          <w:sz w:val="20"/>
          <w:szCs w:val="20"/>
        </w:rPr>
        <w:t>a</w:t>
      </w:r>
      <w:r w:rsidRPr="00D668B9">
        <w:rPr>
          <w:b/>
          <w:bCs/>
          <w:i/>
          <w:iCs/>
          <w:sz w:val="20"/>
          <w:szCs w:val="20"/>
        </w:rPr>
        <w:t xml:space="preserve"> temporanea riduzione dei fondi della </w:t>
      </w:r>
      <w:proofErr w:type="gramStart"/>
      <w:r w:rsidRPr="00D668B9">
        <w:rPr>
          <w:b/>
          <w:bCs/>
          <w:i/>
          <w:iCs/>
          <w:sz w:val="20"/>
          <w:szCs w:val="20"/>
        </w:rPr>
        <w:t>contrattazione</w:t>
      </w:r>
      <w:r w:rsidR="00AF65AA">
        <w:rPr>
          <w:b/>
          <w:bCs/>
          <w:i/>
          <w:iCs/>
          <w:sz w:val="20"/>
          <w:szCs w:val="20"/>
        </w:rPr>
        <w:t xml:space="preserve"> </w:t>
      </w:r>
      <w:r w:rsidRPr="00D668B9">
        <w:rPr>
          <w:b/>
          <w:bCs/>
          <w:i/>
          <w:iCs/>
          <w:sz w:val="20"/>
          <w:szCs w:val="20"/>
        </w:rPr>
        <w:t xml:space="preserve"> in</w:t>
      </w:r>
      <w:proofErr w:type="gramEnd"/>
      <w:r w:rsidRPr="00D668B9">
        <w:rPr>
          <w:b/>
          <w:bCs/>
          <w:i/>
          <w:iCs/>
          <w:sz w:val="20"/>
          <w:szCs w:val="20"/>
        </w:rPr>
        <w:t xml:space="preserve"> misura  corrispondente, </w:t>
      </w:r>
      <w:r w:rsidRPr="00D668B9">
        <w:rPr>
          <w:i/>
          <w:iCs/>
          <w:sz w:val="20"/>
          <w:szCs w:val="20"/>
        </w:rPr>
        <w:t>fermi restando  i  processi  di  riallocazione  e  di  mobilit</w:t>
      </w:r>
      <w:r>
        <w:rPr>
          <w:i/>
          <w:iCs/>
          <w:sz w:val="20"/>
          <w:szCs w:val="20"/>
        </w:rPr>
        <w:t>à</w:t>
      </w:r>
      <w:r w:rsidRPr="00D668B9">
        <w:rPr>
          <w:i/>
          <w:iCs/>
          <w:sz w:val="20"/>
          <w:szCs w:val="20"/>
        </w:rPr>
        <w:t xml:space="preserve">  del</w:t>
      </w:r>
      <w:r>
        <w:rPr>
          <w:i/>
          <w:iCs/>
          <w:sz w:val="20"/>
          <w:szCs w:val="20"/>
        </w:rPr>
        <w:t xml:space="preserve"> </w:t>
      </w:r>
      <w:r w:rsidRPr="00D668B9">
        <w:rPr>
          <w:i/>
          <w:iCs/>
          <w:sz w:val="20"/>
          <w:szCs w:val="20"/>
        </w:rPr>
        <w:t xml:space="preserve">personale.)) </w:t>
      </w:r>
      <w:r>
        <w:rPr>
          <w:i/>
          <w:iCs/>
          <w:sz w:val="20"/>
          <w:szCs w:val="20"/>
        </w:rPr>
        <w:t xml:space="preserve"> </w:t>
      </w:r>
    </w:p>
    <w:p w14:paraId="3112E2DC" w14:textId="32E8221F" w:rsidR="00D668B9" w:rsidRPr="00D668B9" w:rsidRDefault="00D668B9" w:rsidP="00D668B9">
      <w:pPr>
        <w:spacing w:after="0" w:line="240" w:lineRule="auto"/>
        <w:jc w:val="both"/>
        <w:rPr>
          <w:i/>
          <w:iCs/>
          <w:sz w:val="20"/>
          <w:szCs w:val="20"/>
        </w:rPr>
      </w:pPr>
      <w:r>
        <w:rPr>
          <w:i/>
          <w:iCs/>
          <w:sz w:val="20"/>
          <w:szCs w:val="20"/>
        </w:rPr>
        <w:t>Comma 3. Omissis</w:t>
      </w:r>
    </w:p>
    <w:p w14:paraId="77710950" w14:textId="17BE76C5" w:rsidR="00D668B9" w:rsidRDefault="00D668B9" w:rsidP="00D668B9">
      <w:pPr>
        <w:pStyle w:val="Testonotaapidipagina"/>
      </w:pP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1A41"/>
    <w:rsid w:val="00027659"/>
    <w:rsid w:val="000C6C4C"/>
    <w:rsid w:val="001209D1"/>
    <w:rsid w:val="0020506E"/>
    <w:rsid w:val="003B7E77"/>
    <w:rsid w:val="003D49DF"/>
    <w:rsid w:val="0046782F"/>
    <w:rsid w:val="00574ED3"/>
    <w:rsid w:val="005F372F"/>
    <w:rsid w:val="007C1A41"/>
    <w:rsid w:val="008364E2"/>
    <w:rsid w:val="00850F51"/>
    <w:rsid w:val="00894219"/>
    <w:rsid w:val="00990D59"/>
    <w:rsid w:val="00A53AC9"/>
    <w:rsid w:val="00AA01CF"/>
    <w:rsid w:val="00AF65AA"/>
    <w:rsid w:val="00B44976"/>
    <w:rsid w:val="00B775BC"/>
    <w:rsid w:val="00C022E6"/>
    <w:rsid w:val="00C03BD1"/>
    <w:rsid w:val="00C77FC6"/>
    <w:rsid w:val="00D27CDF"/>
    <w:rsid w:val="00D650F4"/>
    <w:rsid w:val="00D668B9"/>
    <w:rsid w:val="00DD0F70"/>
    <w:rsid w:val="00DF2AFD"/>
    <w:rsid w:val="00E03AE8"/>
    <w:rsid w:val="00E3365A"/>
    <w:rsid w:val="00EA21E7"/>
    <w:rsid w:val="00F56B3E"/>
    <w:rsid w:val="00F64600"/>
    <w:rsid w:val="00FF2C2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E33645"/>
  <w15:chartTrackingRefBased/>
  <w15:docId w15:val="{E2A8D5BD-6130-440B-B38B-772A017CB0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39"/>
    <w:rsid w:val="00574ED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apidipagina">
    <w:name w:val="footnote text"/>
    <w:basedOn w:val="Normale"/>
    <w:link w:val="TestonotaapidipaginaCarattere"/>
    <w:uiPriority w:val="99"/>
    <w:semiHidden/>
    <w:unhideWhenUsed/>
    <w:rsid w:val="00D668B9"/>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D668B9"/>
    <w:rPr>
      <w:sz w:val="20"/>
      <w:szCs w:val="20"/>
    </w:rPr>
  </w:style>
  <w:style w:type="character" w:styleId="Rimandonotaapidipagina">
    <w:name w:val="footnote reference"/>
    <w:basedOn w:val="Carpredefinitoparagrafo"/>
    <w:uiPriority w:val="99"/>
    <w:semiHidden/>
    <w:unhideWhenUsed/>
    <w:rsid w:val="00D668B9"/>
    <w:rPr>
      <w:vertAlign w:val="superscript"/>
    </w:rPr>
  </w:style>
  <w:style w:type="paragraph" w:styleId="PreformattatoHTML">
    <w:name w:val="HTML Preformatted"/>
    <w:basedOn w:val="Normale"/>
    <w:link w:val="PreformattatoHTMLCarattere"/>
    <w:uiPriority w:val="99"/>
    <w:semiHidden/>
    <w:unhideWhenUsed/>
    <w:rsid w:val="00D668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it-IT"/>
    </w:rPr>
  </w:style>
  <w:style w:type="character" w:customStyle="1" w:styleId="PreformattatoHTMLCarattere">
    <w:name w:val="Preformattato HTML Carattere"/>
    <w:basedOn w:val="Carpredefinitoparagrafo"/>
    <w:link w:val="PreformattatoHTML"/>
    <w:uiPriority w:val="99"/>
    <w:semiHidden/>
    <w:rsid w:val="00D668B9"/>
    <w:rPr>
      <w:rFonts w:ascii="Courier New" w:eastAsia="Times New Roman" w:hAnsi="Courier New" w:cs="Courier New"/>
      <w:sz w:val="20"/>
      <w:szCs w:val="20"/>
      <w:lang w:eastAsia="it-IT"/>
    </w:rPr>
  </w:style>
  <w:style w:type="character" w:styleId="Enfasigrassetto">
    <w:name w:val="Strong"/>
    <w:basedOn w:val="Carpredefinitoparagrafo"/>
    <w:uiPriority w:val="22"/>
    <w:qFormat/>
    <w:rsid w:val="00D668B9"/>
    <w:rPr>
      <w:b/>
      <w:bCs/>
    </w:rPr>
  </w:style>
  <w:style w:type="paragraph" w:customStyle="1" w:styleId="Default">
    <w:name w:val="Default"/>
    <w:rsid w:val="00850F51"/>
    <w:pPr>
      <w:autoSpaceDE w:val="0"/>
      <w:autoSpaceDN w:val="0"/>
      <w:adjustRightInd w:val="0"/>
      <w:spacing w:after="0" w:line="240" w:lineRule="auto"/>
    </w:pPr>
    <w:rPr>
      <w:rFonts w:ascii="Book Antiqua" w:hAnsi="Book Antiqua" w:cs="Book Antiqu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2724810">
      <w:bodyDiv w:val="1"/>
      <w:marLeft w:val="0"/>
      <w:marRight w:val="0"/>
      <w:marTop w:val="0"/>
      <w:marBottom w:val="0"/>
      <w:divBdr>
        <w:top w:val="none" w:sz="0" w:space="0" w:color="auto"/>
        <w:left w:val="none" w:sz="0" w:space="0" w:color="auto"/>
        <w:bottom w:val="none" w:sz="0" w:space="0" w:color="auto"/>
        <w:right w:val="none" w:sz="0" w:space="0" w:color="auto"/>
      </w:divBdr>
    </w:div>
    <w:div w:id="684136387">
      <w:bodyDiv w:val="1"/>
      <w:marLeft w:val="0"/>
      <w:marRight w:val="0"/>
      <w:marTop w:val="0"/>
      <w:marBottom w:val="0"/>
      <w:divBdr>
        <w:top w:val="none" w:sz="0" w:space="0" w:color="auto"/>
        <w:left w:val="none" w:sz="0" w:space="0" w:color="auto"/>
        <w:bottom w:val="none" w:sz="0" w:space="0" w:color="auto"/>
        <w:right w:val="none" w:sz="0" w:space="0" w:color="auto"/>
      </w:divBdr>
    </w:div>
    <w:div w:id="14675095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1AF4970-9A1E-4DE4-B240-A9D059FDDB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3</Pages>
  <Words>1164</Words>
  <Characters>6636</Characters>
  <Application>Microsoft Office Word</Application>
  <DocSecurity>0</DocSecurity>
  <Lines>55</Lines>
  <Paragraphs>15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7785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Dott.ssa Vania Gobat - Studio Gobat</dc:creator>
  <cp:keywords/>
  <dc:description/>
  <cp:lastModifiedBy>GRAZIA</cp:lastModifiedBy>
  <cp:revision>3</cp:revision>
  <dcterms:created xsi:type="dcterms:W3CDTF">2021-03-14T11:32:00Z</dcterms:created>
  <dcterms:modified xsi:type="dcterms:W3CDTF">2021-03-16T08:26:00Z</dcterms:modified>
</cp:coreProperties>
</file>